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76B" w:rsidRDefault="00D3597C" w:rsidP="00D3597C">
      <w:pPr>
        <w:keepNext/>
        <w:keepLines/>
        <w:spacing w:after="0" w:line="240" w:lineRule="auto"/>
        <w:jc w:val="both"/>
        <w:outlineLvl w:val="0"/>
        <w:rPr>
          <w:rFonts w:ascii="Trebuchet MS" w:eastAsia="Calibri" w:hAnsi="Trebuchet MS" w:cs="Times New Roman"/>
          <w:b/>
          <w:color w:val="1F4E79" w:themeColor="accent1" w:themeShade="80"/>
        </w:rPr>
      </w:pPr>
      <w:bookmarkStart w:id="0" w:name="_Toc449017729"/>
      <w:bookmarkStart w:id="1" w:name="_Toc458077191"/>
      <w:bookmarkStart w:id="2" w:name="_Toc457553733"/>
      <w:r w:rsidRPr="00002315">
        <w:rPr>
          <w:rFonts w:ascii="Trebuchet MS" w:eastAsia="Calibri" w:hAnsi="Trebuchet MS" w:cs="Times New Roman"/>
          <w:b/>
          <w:color w:val="1F4E79" w:themeColor="accent1" w:themeShade="80"/>
        </w:rPr>
        <w:t xml:space="preserve">ANEXA 2 - </w:t>
      </w:r>
      <w:bookmarkEnd w:id="0"/>
      <w:r w:rsidRPr="00002315">
        <w:rPr>
          <w:rFonts w:ascii="Trebuchet MS" w:eastAsia="Calibri" w:hAnsi="Trebuchet MS" w:cs="Times New Roman"/>
          <w:b/>
          <w:color w:val="1F4E79" w:themeColor="accent1" w:themeShade="80"/>
        </w:rPr>
        <w:t>DEFINIȚIILE INDICATORILOR</w:t>
      </w:r>
      <w:bookmarkEnd w:id="1"/>
      <w:bookmarkEnd w:id="2"/>
      <w:r w:rsidRPr="00002315">
        <w:rPr>
          <w:rFonts w:ascii="Trebuchet MS" w:eastAsia="Calibri" w:hAnsi="Trebuchet MS" w:cs="Times New Roman"/>
          <w:b/>
          <w:color w:val="1F4E79" w:themeColor="accent1" w:themeShade="80"/>
        </w:rPr>
        <w:t xml:space="preserve"> </w:t>
      </w:r>
    </w:p>
    <w:p w:rsidR="00D3597C" w:rsidRPr="00002315" w:rsidRDefault="00DF076B" w:rsidP="00D3597C">
      <w:pPr>
        <w:keepNext/>
        <w:keepLines/>
        <w:spacing w:after="0" w:line="240" w:lineRule="auto"/>
        <w:jc w:val="both"/>
        <w:outlineLvl w:val="0"/>
        <w:rPr>
          <w:rFonts w:ascii="Trebuchet MS" w:eastAsia="Calibri" w:hAnsi="Trebuchet MS" w:cs="Times New Roman"/>
          <w:b/>
          <w:color w:val="1F4E79" w:themeColor="accent1" w:themeShade="80"/>
        </w:rPr>
      </w:pPr>
      <w:r>
        <w:rPr>
          <w:rFonts w:ascii="Trebuchet MS" w:eastAsia="Calibri" w:hAnsi="Trebuchet MS" w:cs="Times New Roman"/>
          <w:b/>
          <w:color w:val="1F4E79" w:themeColor="accent1" w:themeShade="80"/>
        </w:rPr>
        <w:t xml:space="preserve">Obiectiv specific </w:t>
      </w:r>
      <w:r w:rsidR="00CE2785" w:rsidRPr="00002315">
        <w:rPr>
          <w:rFonts w:ascii="Trebuchet MS" w:eastAsia="Calibri" w:hAnsi="Trebuchet MS" w:cs="Times New Roman"/>
          <w:b/>
          <w:color w:val="1F4E79" w:themeColor="accent1" w:themeShade="80"/>
        </w:rPr>
        <w:t>6.14</w:t>
      </w:r>
    </w:p>
    <w:tbl>
      <w:tblPr>
        <w:tblStyle w:val="Tabelgril"/>
        <w:tblpPr w:leftFromText="180" w:rightFromText="180" w:horzAnchor="margin" w:tblpY="628"/>
        <w:tblW w:w="0" w:type="auto"/>
        <w:tblLook w:val="04A0" w:firstRow="1" w:lastRow="0" w:firstColumn="1" w:lastColumn="0" w:noHBand="0" w:noVBand="1"/>
      </w:tblPr>
      <w:tblGrid>
        <w:gridCol w:w="3256"/>
        <w:gridCol w:w="9355"/>
      </w:tblGrid>
      <w:tr w:rsidR="00002315" w:rsidRPr="00002315" w:rsidTr="003722E3">
        <w:tc>
          <w:tcPr>
            <w:tcW w:w="3256" w:type="dxa"/>
            <w:shd w:val="clear" w:color="auto" w:fill="D9E2F3" w:themeFill="accent5" w:themeFillTint="33"/>
          </w:tcPr>
          <w:p w:rsidR="00CE2785" w:rsidRPr="00002315" w:rsidRDefault="00F25569"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INDICATOR DE REALIZARE</w:t>
            </w:r>
          </w:p>
        </w:tc>
        <w:tc>
          <w:tcPr>
            <w:tcW w:w="9355" w:type="dxa"/>
            <w:shd w:val="clear" w:color="auto" w:fill="D9E2F3" w:themeFill="accent5" w:themeFillTint="33"/>
          </w:tcPr>
          <w:p w:rsidR="00CE2785" w:rsidRPr="00002315" w:rsidRDefault="00CE2785"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EXPLICAȚIILE TERMENILOR</w:t>
            </w:r>
          </w:p>
          <w:p w:rsidR="00CE2785" w:rsidRPr="00002315" w:rsidRDefault="00CE2785" w:rsidP="00CE2785">
            <w:pPr>
              <w:rPr>
                <w:rFonts w:ascii="Trebuchet MS" w:hAnsi="Trebuchet MS"/>
                <w:b/>
                <w:color w:val="1F4E79" w:themeColor="accent1" w:themeShade="80"/>
                <w:sz w:val="20"/>
                <w:szCs w:val="20"/>
              </w:rPr>
            </w:pPr>
          </w:p>
        </w:tc>
      </w:tr>
      <w:tr w:rsidR="00002315" w:rsidRPr="00002315" w:rsidTr="00F25569">
        <w:tc>
          <w:tcPr>
            <w:tcW w:w="3256" w:type="dxa"/>
            <w:tcBorders>
              <w:bottom w:val="single" w:sz="4" w:space="0" w:color="auto"/>
            </w:tcBorders>
          </w:tcPr>
          <w:p w:rsidR="00CE2785" w:rsidRPr="00002315" w:rsidRDefault="00CE2785" w:rsidP="00B25101">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4S131</w:t>
            </w:r>
            <w:r w:rsidRPr="00002315">
              <w:rPr>
                <w:rFonts w:ascii="Trebuchet MS" w:hAnsi="Trebuchet MS"/>
                <w:b/>
                <w:color w:val="1F4E79" w:themeColor="accent1" w:themeShade="80"/>
                <w:sz w:val="20"/>
                <w:szCs w:val="20"/>
              </w:rPr>
              <w:tab/>
              <w:t xml:space="preserve">Persoane (elevi), din care Roma/ din mediul rural, care beneficiază de sprijin pentru participarea la programe de educație/FP, din care: </w:t>
            </w:r>
            <w:r w:rsidR="00B25101">
              <w:rPr>
                <w:rFonts w:ascii="Trebuchet MS" w:hAnsi="Trebuchet MS"/>
                <w:b/>
                <w:color w:val="1F4E79" w:themeColor="accent1" w:themeShade="80"/>
                <w:sz w:val="20"/>
                <w:szCs w:val="20"/>
              </w:rPr>
              <w:t>elevi</w:t>
            </w:r>
          </w:p>
        </w:tc>
        <w:tc>
          <w:tcPr>
            <w:tcW w:w="9355" w:type="dxa"/>
            <w:tcBorders>
              <w:bottom w:val="single" w:sz="4" w:space="0" w:color="auto"/>
            </w:tcBorders>
          </w:tcPr>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”Elevul este persoana înregistrată în sistemul național de educație care urmează învățământul obligatoriu sau un program de formare profesională inițială.</w:t>
            </w:r>
            <w:r w:rsidR="00F25569" w:rsidRPr="00002315">
              <w:rPr>
                <w:rFonts w:ascii="Trebuchet MS" w:hAnsi="Trebuchet MS"/>
                <w:color w:val="1F4E79" w:themeColor="accent1" w:themeShade="80"/>
                <w:sz w:val="20"/>
                <w:szCs w:val="20"/>
              </w:rPr>
              <w: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Agreată cu părțile implicate în cadrul atelierului de lucru</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„Învăţământul secundar inferior sau gimnazial” (ISCED 2): participarea la acest nivel de învățământ durează minim 4 ani (cuprinde clasele V-VIII); acesta asigură </w:t>
            </w:r>
            <w:r w:rsidR="00F25569" w:rsidRPr="00002315">
              <w:rPr>
                <w:rFonts w:ascii="Trebuchet MS" w:hAnsi="Trebuchet MS"/>
                <w:color w:val="1F4E79" w:themeColor="accent1" w:themeShade="80"/>
                <w:sz w:val="20"/>
                <w:szCs w:val="20"/>
              </w:rPr>
              <w:t>educația</w:t>
            </w:r>
            <w:r w:rsidRPr="00002315">
              <w:rPr>
                <w:rFonts w:ascii="Trebuchet MS" w:hAnsi="Trebuchet MS"/>
                <w:color w:val="1F4E79" w:themeColor="accent1" w:themeShade="80"/>
                <w:sz w:val="20"/>
                <w:szCs w:val="20"/>
              </w:rPr>
              <w:t xml:space="preserve"> generală a elevilor cu vârsta între 11 şi 15 ani. Învăţământul gimnazial se organizează şi </w:t>
            </w:r>
            <w:r w:rsidR="00F25569" w:rsidRPr="00002315">
              <w:rPr>
                <w:rFonts w:ascii="Trebuchet MS" w:hAnsi="Trebuchet MS"/>
                <w:color w:val="1F4E79" w:themeColor="accent1" w:themeShade="80"/>
                <w:sz w:val="20"/>
                <w:szCs w:val="20"/>
              </w:rPr>
              <w:t>funcționează</w:t>
            </w:r>
            <w:r w:rsidRPr="00002315">
              <w:rPr>
                <w:rFonts w:ascii="Trebuchet MS" w:hAnsi="Trebuchet MS"/>
                <w:color w:val="1F4E79" w:themeColor="accent1" w:themeShade="80"/>
                <w:sz w:val="20"/>
                <w:szCs w:val="20"/>
              </w:rPr>
              <w:t xml:space="preserve">, de regulă, cu program de </w:t>
            </w:r>
            <w:r w:rsidR="00F25569" w:rsidRPr="00002315">
              <w:rPr>
                <w:rFonts w:ascii="Trebuchet MS" w:hAnsi="Trebuchet MS"/>
                <w:color w:val="1F4E79" w:themeColor="accent1" w:themeShade="80"/>
                <w:sz w:val="20"/>
                <w:szCs w:val="20"/>
              </w:rPr>
              <w:t>dimineață</w:t>
            </w:r>
            <w:r w:rsidRPr="00002315">
              <w:rPr>
                <w:rFonts w:ascii="Trebuchet MS" w:hAnsi="Trebuchet MS"/>
                <w:color w:val="1F4E79" w:themeColor="accent1" w:themeShade="80"/>
                <w:sz w:val="20"/>
                <w:szCs w:val="20"/>
              </w:rPr>
              <w:t xml:space="preserve">. </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xml:space="preserve">„Învăţământul secundar superior” (ISCED 3) asigură </w:t>
            </w:r>
            <w:r w:rsidR="00F25569" w:rsidRPr="00002315">
              <w:rPr>
                <w:rFonts w:ascii="Trebuchet MS" w:hAnsi="Trebuchet MS"/>
                <w:color w:val="1F4E79" w:themeColor="accent1" w:themeShade="80"/>
                <w:sz w:val="20"/>
                <w:szCs w:val="20"/>
              </w:rPr>
              <w:t>educația</w:t>
            </w:r>
            <w:r w:rsidRPr="00002315">
              <w:rPr>
                <w:rFonts w:ascii="Trebuchet MS" w:hAnsi="Trebuchet MS"/>
                <w:color w:val="1F4E79" w:themeColor="accent1" w:themeShade="80"/>
                <w:sz w:val="20"/>
                <w:szCs w:val="20"/>
              </w:rPr>
              <w:t xml:space="preserve"> generală şi/ sau specializarea elevilor cu vârsta între 15 şi 19 ani, respectiv 15-17/18 ani și poate fi: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xml:space="preserve">- învăţământ liceal, care cuprinde clasele de liceu IX-XII/XIII, cu următoarele filiere: teoretică, </w:t>
            </w:r>
            <w:r w:rsidR="00F25569" w:rsidRPr="00002315">
              <w:rPr>
                <w:rFonts w:ascii="Trebuchet MS" w:hAnsi="Trebuchet MS"/>
                <w:color w:val="1F4E79" w:themeColor="accent1" w:themeShade="80"/>
                <w:sz w:val="20"/>
                <w:szCs w:val="20"/>
              </w:rPr>
              <w:t>vocațională</w:t>
            </w:r>
            <w:r w:rsidRPr="00002315">
              <w:rPr>
                <w:rFonts w:ascii="Trebuchet MS" w:hAnsi="Trebuchet MS"/>
                <w:color w:val="1F4E79" w:themeColor="accent1" w:themeShade="80"/>
                <w:sz w:val="20"/>
                <w:szCs w:val="20"/>
              </w:rPr>
              <w:t xml:space="preserve"> şi tehnologică; </w:t>
            </w:r>
            <w:r w:rsidRPr="00002315">
              <w:rPr>
                <w:rFonts w:ascii="Trebuchet MS" w:hAnsi="Trebuchet MS"/>
                <w:color w:val="1F4E79" w:themeColor="accent1" w:themeShade="80"/>
                <w:sz w:val="20"/>
                <w:szCs w:val="20"/>
              </w:rPr>
              <w:br/>
              <w:t>- învăţământ profesional cu durata de minimum 3 ani.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”Nivelurile de calificare 3-5”: Descriptorii de definire ai nivelurilor Cadrului </w:t>
            </w:r>
            <w:r w:rsidR="00F25569" w:rsidRPr="00002315">
              <w:rPr>
                <w:rFonts w:ascii="Trebuchet MS" w:hAnsi="Trebuchet MS"/>
                <w:color w:val="1F4E79" w:themeColor="accent1" w:themeShade="80"/>
                <w:sz w:val="20"/>
                <w:szCs w:val="20"/>
              </w:rPr>
              <w:t>național</w:t>
            </w:r>
            <w:r w:rsidRPr="00002315">
              <w:rPr>
                <w:rFonts w:ascii="Trebuchet MS" w:hAnsi="Trebuchet MS"/>
                <w:color w:val="1F4E79" w:themeColor="accent1" w:themeShade="80"/>
                <w:sz w:val="20"/>
                <w:szCs w:val="20"/>
              </w:rPr>
              <w:t xml:space="preserve"> al calificărilor, respectiv cunoștințele, abilitățile și competențele aferente fiecărui nivel sunt definite în cadrul Hotărârii nr. 918/2013 privind aprobarea Cadrului </w:t>
            </w:r>
            <w:r w:rsidR="00F25569" w:rsidRPr="00002315">
              <w:rPr>
                <w:rFonts w:ascii="Trebuchet MS" w:hAnsi="Trebuchet MS"/>
                <w:color w:val="1F4E79" w:themeColor="accent1" w:themeShade="80"/>
                <w:sz w:val="20"/>
                <w:szCs w:val="20"/>
              </w:rPr>
              <w:t>național</w:t>
            </w:r>
            <w:r w:rsidRPr="00002315">
              <w:rPr>
                <w:rFonts w:ascii="Trebuchet MS" w:hAnsi="Trebuchet MS"/>
                <w:color w:val="1F4E79" w:themeColor="accent1" w:themeShade="80"/>
                <w:sz w:val="20"/>
                <w:szCs w:val="20"/>
              </w:rPr>
              <w:t xml:space="preserve"> al calificărilor,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„Program </w:t>
            </w:r>
            <w:r w:rsidR="00F25569" w:rsidRPr="00002315">
              <w:rPr>
                <w:rFonts w:ascii="Trebuchet MS" w:hAnsi="Trebuchet MS"/>
                <w:color w:val="1F4E79" w:themeColor="accent1" w:themeShade="80"/>
                <w:sz w:val="20"/>
                <w:szCs w:val="20"/>
              </w:rPr>
              <w:t>educațional</w:t>
            </w:r>
            <w:r w:rsidRPr="00002315">
              <w:rPr>
                <w:rFonts w:ascii="Trebuchet MS" w:hAnsi="Trebuchet MS"/>
                <w:color w:val="1F4E79" w:themeColor="accent1" w:themeShade="80"/>
                <w:sz w:val="20"/>
                <w:szCs w:val="20"/>
              </w:rPr>
              <w:t xml:space="preserve">“ este un program scris de </w:t>
            </w:r>
            <w:r w:rsidR="00F25569" w:rsidRPr="00002315">
              <w:rPr>
                <w:rFonts w:ascii="Trebuchet MS" w:hAnsi="Trebuchet MS"/>
                <w:color w:val="1F4E79" w:themeColor="accent1" w:themeShade="80"/>
                <w:sz w:val="20"/>
                <w:szCs w:val="20"/>
              </w:rPr>
              <w:t>instituția</w:t>
            </w:r>
            <w:r w:rsidRPr="00002315">
              <w:rPr>
                <w:rFonts w:ascii="Trebuchet MS" w:hAnsi="Trebuchet MS"/>
                <w:color w:val="1F4E79" w:themeColor="accent1" w:themeShade="80"/>
                <w:sz w:val="20"/>
                <w:szCs w:val="20"/>
              </w:rPr>
              <w:t xml:space="preserve"> sau ministerul </w:t>
            </w:r>
            <w:r w:rsidR="00F25569" w:rsidRPr="00002315">
              <w:rPr>
                <w:rFonts w:ascii="Trebuchet MS" w:hAnsi="Trebuchet MS"/>
                <w:color w:val="1F4E79" w:themeColor="accent1" w:themeShade="80"/>
                <w:sz w:val="20"/>
                <w:szCs w:val="20"/>
              </w:rPr>
              <w:t>educației</w:t>
            </w:r>
            <w:r w:rsidRPr="00002315">
              <w:rPr>
                <w:rFonts w:ascii="Trebuchet MS" w:hAnsi="Trebuchet MS"/>
                <w:color w:val="1F4E79" w:themeColor="accent1" w:themeShade="80"/>
                <w:sz w:val="20"/>
                <w:szCs w:val="20"/>
              </w:rPr>
              <w:t xml:space="preserve"> care </w:t>
            </w:r>
            <w:r w:rsidR="00F25569" w:rsidRPr="00002315">
              <w:rPr>
                <w:rFonts w:ascii="Trebuchet MS" w:hAnsi="Trebuchet MS"/>
                <w:color w:val="1F4E79" w:themeColor="accent1" w:themeShade="80"/>
                <w:sz w:val="20"/>
                <w:szCs w:val="20"/>
              </w:rPr>
              <w:t>stabilește</w:t>
            </w:r>
            <w:r w:rsidRPr="00002315">
              <w:rPr>
                <w:rFonts w:ascii="Trebuchet MS" w:hAnsi="Trebuchet MS"/>
                <w:color w:val="1F4E79" w:themeColor="accent1" w:themeShade="80"/>
                <w:sz w:val="20"/>
                <w:szCs w:val="20"/>
              </w:rPr>
              <w:t xml:space="preserve"> programul de </w:t>
            </w:r>
            <w:r w:rsidR="00F25569" w:rsidRPr="00002315">
              <w:rPr>
                <w:rFonts w:ascii="Trebuchet MS" w:hAnsi="Trebuchet MS"/>
                <w:color w:val="1F4E79" w:themeColor="accent1" w:themeShade="80"/>
                <w:sz w:val="20"/>
                <w:szCs w:val="20"/>
              </w:rPr>
              <w:t>învățare</w:t>
            </w:r>
            <w:r w:rsidRPr="00002315">
              <w:rPr>
                <w:rFonts w:ascii="Trebuchet MS" w:hAnsi="Trebuchet MS"/>
                <w:color w:val="1F4E79" w:themeColor="accent1" w:themeShade="80"/>
                <w:sz w:val="20"/>
                <w:szCs w:val="20"/>
              </w:rPr>
              <w:t xml:space="preserve"> pentru fiecare materie în toate etapele de </w:t>
            </w:r>
            <w:r w:rsidR="00F25569" w:rsidRPr="00002315">
              <w:rPr>
                <w:rFonts w:ascii="Trebuchet MS" w:hAnsi="Trebuchet MS"/>
                <w:color w:val="1F4E79" w:themeColor="accent1" w:themeShade="80"/>
                <w:sz w:val="20"/>
                <w:szCs w:val="20"/>
              </w:rPr>
              <w:t>educație</w:t>
            </w:r>
            <w:r w:rsidRPr="00002315">
              <w:rPr>
                <w:rFonts w:ascii="Trebuchet MS" w:hAnsi="Trebuchet MS"/>
                <w:color w:val="1F4E79" w:themeColor="accent1" w:themeShade="80"/>
                <w:sz w:val="20"/>
                <w:szCs w:val="20"/>
              </w:rPr>
              <w:t xml:space="preserve"> formală. Mai exact, </w:t>
            </w:r>
            <w:r w:rsidR="00F25569" w:rsidRPr="00002315">
              <w:rPr>
                <w:rFonts w:ascii="Trebuchet MS" w:hAnsi="Trebuchet MS"/>
                <w:color w:val="1F4E79" w:themeColor="accent1" w:themeShade="80"/>
                <w:sz w:val="20"/>
                <w:szCs w:val="20"/>
              </w:rPr>
              <w:lastRenderedPageBreak/>
              <w:t>stabilește</w:t>
            </w:r>
            <w:r w:rsidRPr="00002315">
              <w:rPr>
                <w:rFonts w:ascii="Trebuchet MS" w:hAnsi="Trebuchet MS"/>
                <w:color w:val="1F4E79" w:themeColor="accent1" w:themeShade="80"/>
                <w:sz w:val="20"/>
                <w:szCs w:val="20"/>
              </w:rPr>
              <w:t xml:space="preserve"> pentru fiecare arie de dezvoltare, disciplină, domeniul de studiu / modulul de pregătire din planul de învăţământ, </w:t>
            </w:r>
            <w:r w:rsidR="00F25569" w:rsidRPr="00002315">
              <w:rPr>
                <w:rFonts w:ascii="Trebuchet MS" w:hAnsi="Trebuchet MS"/>
                <w:color w:val="1F4E79" w:themeColor="accent1" w:themeShade="80"/>
                <w:sz w:val="20"/>
                <w:szCs w:val="20"/>
              </w:rPr>
              <w:t>finalitățile</w:t>
            </w:r>
            <w:r w:rsidRPr="00002315">
              <w:rPr>
                <w:rFonts w:ascii="Trebuchet MS" w:hAnsi="Trebuchet MS"/>
                <w:color w:val="1F4E79" w:themeColor="accent1" w:themeShade="80"/>
                <w:sz w:val="20"/>
                <w:szCs w:val="20"/>
              </w:rPr>
              <w:t xml:space="preserve"> urmărite şi </w:t>
            </w:r>
            <w:r w:rsidR="00F25569" w:rsidRPr="00002315">
              <w:rPr>
                <w:rFonts w:ascii="Trebuchet MS" w:hAnsi="Trebuchet MS"/>
                <w:color w:val="1F4E79" w:themeColor="accent1" w:themeShade="80"/>
                <w:sz w:val="20"/>
                <w:szCs w:val="20"/>
              </w:rPr>
              <w:t>evidențiază</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conținuturile</w:t>
            </w:r>
            <w:r w:rsidRPr="00002315">
              <w:rPr>
                <w:rFonts w:ascii="Trebuchet MS" w:hAnsi="Trebuchet MS"/>
                <w:color w:val="1F4E79" w:themeColor="accent1" w:themeShade="80"/>
                <w:sz w:val="20"/>
                <w:szCs w:val="20"/>
              </w:rPr>
              <w:t xml:space="preserve"> fundamentale de ordin teoretic, experimental şi aplicativ, oferind orientări metodologice generale pentru realizarea şi evaluarea acestora.</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w:t>
            </w:r>
            <w:r w:rsidR="00F25569" w:rsidRPr="00002315">
              <w:rPr>
                <w:rFonts w:ascii="Trebuchet MS" w:hAnsi="Trebuchet MS"/>
                <w:color w:val="1F4E79" w:themeColor="accent1" w:themeShade="80"/>
                <w:sz w:val="20"/>
                <w:szCs w:val="20"/>
              </w:rPr>
              <w:t>Educația</w:t>
            </w:r>
            <w:r w:rsidRPr="00002315">
              <w:rPr>
                <w:rFonts w:ascii="Trebuchet MS" w:hAnsi="Trebuchet MS"/>
                <w:color w:val="1F4E79" w:themeColor="accent1" w:themeShade="80"/>
                <w:sz w:val="20"/>
                <w:szCs w:val="20"/>
              </w:rPr>
              <w:t xml:space="preserve"> şi formarea profesională” reprezintă ansamblul coerent şi continuu de </w:t>
            </w:r>
            <w:r w:rsidR="00F25569" w:rsidRPr="00002315">
              <w:rPr>
                <w:rFonts w:ascii="Trebuchet MS" w:hAnsi="Trebuchet MS"/>
                <w:color w:val="1F4E79" w:themeColor="accent1" w:themeShade="80"/>
                <w:sz w:val="20"/>
                <w:szCs w:val="20"/>
              </w:rPr>
              <w:t>activități</w:t>
            </w:r>
            <w:r w:rsidRPr="00002315">
              <w:rPr>
                <w:rFonts w:ascii="Trebuchet MS" w:hAnsi="Trebuchet MS"/>
                <w:color w:val="1F4E79" w:themeColor="accent1" w:themeShade="80"/>
                <w:sz w:val="20"/>
                <w:szCs w:val="20"/>
              </w:rPr>
              <w:t xml:space="preserve"> şi </w:t>
            </w:r>
            <w:r w:rsidR="00F25569" w:rsidRPr="00002315">
              <w:rPr>
                <w:rFonts w:ascii="Trebuchet MS" w:hAnsi="Trebuchet MS"/>
                <w:color w:val="1F4E79" w:themeColor="accent1" w:themeShade="80"/>
                <w:sz w:val="20"/>
                <w:szCs w:val="20"/>
              </w:rPr>
              <w:t>experiențe</w:t>
            </w:r>
            <w:r w:rsidRPr="00002315">
              <w:rPr>
                <w:rFonts w:ascii="Trebuchet MS" w:hAnsi="Trebuchet MS"/>
                <w:color w:val="1F4E79" w:themeColor="accent1" w:themeShade="80"/>
                <w:sz w:val="20"/>
                <w:szCs w:val="20"/>
              </w:rPr>
              <w:t xml:space="preserve"> de </w:t>
            </w:r>
            <w:r w:rsidR="00F25569" w:rsidRPr="00002315">
              <w:rPr>
                <w:rFonts w:ascii="Trebuchet MS" w:hAnsi="Trebuchet MS"/>
                <w:color w:val="1F4E79" w:themeColor="accent1" w:themeShade="80"/>
                <w:sz w:val="20"/>
                <w:szCs w:val="20"/>
              </w:rPr>
              <w:t>învățare</w:t>
            </w:r>
            <w:r w:rsidRPr="00002315">
              <w:rPr>
                <w:rFonts w:ascii="Trebuchet MS" w:hAnsi="Trebuchet MS"/>
                <w:color w:val="1F4E79" w:themeColor="accent1" w:themeShade="80"/>
                <w:sz w:val="20"/>
                <w:szCs w:val="20"/>
              </w:rPr>
              <w:t xml:space="preserve"> prin care trece subiectul </w:t>
            </w:r>
            <w:r w:rsidR="00F25569" w:rsidRPr="00002315">
              <w:rPr>
                <w:rFonts w:ascii="Trebuchet MS" w:hAnsi="Trebuchet MS"/>
                <w:color w:val="1F4E79" w:themeColor="accent1" w:themeShade="80"/>
                <w:sz w:val="20"/>
                <w:szCs w:val="20"/>
              </w:rPr>
              <w:t>învățării</w:t>
            </w:r>
            <w:r w:rsidRPr="00002315">
              <w:rPr>
                <w:rFonts w:ascii="Trebuchet MS" w:hAnsi="Trebuchet MS"/>
                <w:color w:val="1F4E79" w:themeColor="accent1" w:themeShade="80"/>
                <w:sz w:val="20"/>
                <w:szCs w:val="20"/>
              </w:rPr>
              <w:t xml:space="preserve"> pe întreaga durată a traseului său </w:t>
            </w:r>
            <w:r w:rsidR="00F25569" w:rsidRPr="00002315">
              <w:rPr>
                <w:rFonts w:ascii="Trebuchet MS" w:hAnsi="Trebuchet MS"/>
                <w:color w:val="1F4E79" w:themeColor="accent1" w:themeShade="80"/>
                <w:sz w:val="20"/>
                <w:szCs w:val="20"/>
              </w:rPr>
              <w:t>educațional</w:t>
            </w:r>
            <w:r w:rsidRPr="00002315">
              <w:rPr>
                <w:rFonts w:ascii="Trebuchet MS" w:hAnsi="Trebuchet MS"/>
                <w:color w:val="1F4E79" w:themeColor="accent1" w:themeShade="80"/>
                <w:sz w:val="20"/>
                <w:szCs w:val="20"/>
              </w:rPr>
              <w:t>-formativ.</w:t>
            </w:r>
            <w:r w:rsidRPr="00002315">
              <w:rPr>
                <w:rFonts w:ascii="Trebuchet MS" w:hAnsi="Trebuchet MS"/>
                <w:color w:val="1F4E79" w:themeColor="accent1" w:themeShade="80"/>
                <w:sz w:val="20"/>
                <w:szCs w:val="20"/>
              </w:rPr>
              <w:br/>
              <w:t>Sursa: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 „Data intrării în operațiunile FSE” reprezintă „data la care persoana a beneficiat prima dată de sprijinul oferit prin </w:t>
            </w:r>
            <w:r w:rsidR="00F25569" w:rsidRPr="00002315">
              <w:rPr>
                <w:rFonts w:ascii="Trebuchet MS" w:hAnsi="Trebuchet MS"/>
                <w:color w:val="1F4E79" w:themeColor="accent1" w:themeShade="80"/>
                <w:sz w:val="20"/>
                <w:szCs w:val="20"/>
              </w:rPr>
              <w:t>operațiune</w:t>
            </w:r>
            <w:r w:rsidRPr="00002315">
              <w:rPr>
                <w:rFonts w:ascii="Trebuchet MS" w:hAnsi="Trebuchet MS"/>
                <w:color w:val="1F4E79" w:themeColor="accent1" w:themeShade="80"/>
                <w:sz w:val="20"/>
                <w:szCs w:val="20"/>
              </w:rPr>
              <w: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DATELE VOR FI COLECTATE, MONITORIZATE ŞI RAPORTATE PENTRU URMĂTOARELE CATEGORII: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r w:rsidR="00F25569" w:rsidRPr="00002315">
              <w:rPr>
                <w:rFonts w:ascii="Trebuchet MS" w:hAnsi="Trebuchet MS"/>
                <w:color w:val="1F4E79" w:themeColor="accent1" w:themeShade="80"/>
                <w:sz w:val="20"/>
                <w:szCs w:val="20"/>
              </w:rPr>
              <w:t>.</w:t>
            </w:r>
          </w:p>
          <w:p w:rsidR="00CE2785"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care </w:t>
            </w:r>
            <w:r w:rsidR="00F25569" w:rsidRPr="00002315">
              <w:rPr>
                <w:rFonts w:ascii="Trebuchet MS" w:hAnsi="Trebuchet MS"/>
                <w:color w:val="1F4E79" w:themeColor="accent1" w:themeShade="80"/>
                <w:sz w:val="20"/>
                <w:szCs w:val="20"/>
              </w:rPr>
              <w:t>aparțin</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persoana care se declară ca </w:t>
            </w:r>
            <w:r w:rsidR="00F25569" w:rsidRPr="00002315">
              <w:rPr>
                <w:rFonts w:ascii="Trebuchet MS" w:hAnsi="Trebuchet MS"/>
                <w:color w:val="1F4E79" w:themeColor="accent1" w:themeShade="80"/>
                <w:sz w:val="20"/>
                <w:szCs w:val="20"/>
              </w:rPr>
              <w:t>aparținând</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şi care </w:t>
            </w:r>
            <w:r w:rsidR="00F25569" w:rsidRPr="00002315">
              <w:rPr>
                <w:rFonts w:ascii="Trebuchet MS" w:hAnsi="Trebuchet MS"/>
                <w:color w:val="1F4E79" w:themeColor="accent1" w:themeShade="80"/>
                <w:sz w:val="20"/>
                <w:szCs w:val="20"/>
              </w:rPr>
              <w:t>îndeplinește</w:t>
            </w:r>
            <w:r w:rsidRPr="00002315">
              <w:rPr>
                <w:rFonts w:ascii="Trebuchet MS" w:hAnsi="Trebuchet MS"/>
                <w:color w:val="1F4E79" w:themeColor="accent1" w:themeShade="80"/>
                <w:sz w:val="20"/>
                <w:szCs w:val="20"/>
              </w:rPr>
              <w:t xml:space="preserve"> cumulativ criteriile stabilite în cadrul </w:t>
            </w:r>
            <w:r w:rsidR="00F25569" w:rsidRPr="00002315">
              <w:rPr>
                <w:rFonts w:ascii="Trebuchet MS" w:hAnsi="Trebuchet MS"/>
                <w:color w:val="1F4E79" w:themeColor="accent1" w:themeShade="80"/>
                <w:sz w:val="20"/>
                <w:szCs w:val="20"/>
              </w:rPr>
              <w:t>definiției</w:t>
            </w:r>
            <w:r w:rsidRPr="00002315">
              <w:rPr>
                <w:rFonts w:ascii="Trebuchet MS" w:hAnsi="Trebuchet MS"/>
                <w:color w:val="1F4E79" w:themeColor="accent1" w:themeShade="80"/>
                <w:sz w:val="20"/>
                <w:szCs w:val="20"/>
              </w:rPr>
              <w:t xml:space="preserve"> generale</w:t>
            </w:r>
            <w:r w:rsidR="00F25569" w:rsidRPr="00002315">
              <w:rPr>
                <w:rFonts w:ascii="Trebuchet MS" w:hAnsi="Trebuchet MS"/>
                <w:color w:val="1F4E79" w:themeColor="accent1" w:themeShade="80"/>
                <w:sz w:val="20"/>
                <w:szCs w:val="20"/>
              </w:rPr>
              <w:t>.</w:t>
            </w:r>
            <w:r w:rsidRPr="00002315">
              <w:rPr>
                <w:rFonts w:ascii="Trebuchet MS" w:hAnsi="Trebuchet MS"/>
                <w:color w:val="1F4E79" w:themeColor="accent1" w:themeShade="80"/>
                <w:sz w:val="20"/>
                <w:szCs w:val="20"/>
              </w:rPr>
              <w:br/>
              <w:t xml:space="preserve">- Persoane (elev) din zonele rurale: care locuiesc în zonele rurale (sat / comună) conform Legii </w:t>
            </w:r>
            <w:r w:rsidRPr="00002315">
              <w:rPr>
                <w:rFonts w:ascii="Trebuchet MS" w:hAnsi="Trebuchet MS"/>
                <w:color w:val="1F4E79" w:themeColor="accent1" w:themeShade="80"/>
                <w:sz w:val="20"/>
                <w:szCs w:val="20"/>
              </w:rPr>
              <w:lastRenderedPageBreak/>
              <w:t>351/2001 privind aprobarea Planului de amenajare a teritoriului naţional - Secţiunea IV, Reţeaua de localităţi, Anexa I.</w:t>
            </w:r>
          </w:p>
          <w:p w:rsidR="00CE2785" w:rsidRPr="00002315" w:rsidRDefault="00CE2785" w:rsidP="00F25569">
            <w:pPr>
              <w:jc w:val="both"/>
              <w:rPr>
                <w:rFonts w:ascii="Trebuchet MS" w:hAnsi="Trebuchet MS"/>
                <w:color w:val="1F4E79" w:themeColor="accent1" w:themeShade="80"/>
                <w:sz w:val="20"/>
                <w:szCs w:val="20"/>
              </w:rPr>
            </w:pPr>
          </w:p>
        </w:tc>
      </w:tr>
      <w:tr w:rsidR="00002315" w:rsidRPr="00002315" w:rsidTr="003722E3">
        <w:tc>
          <w:tcPr>
            <w:tcW w:w="12611" w:type="dxa"/>
            <w:gridSpan w:val="2"/>
            <w:shd w:val="clear" w:color="auto" w:fill="D9E2F3" w:themeFill="accent5" w:themeFillTint="33"/>
          </w:tcPr>
          <w:p w:rsidR="00CE2785" w:rsidRPr="00002315" w:rsidRDefault="00F25569"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lastRenderedPageBreak/>
              <w:t>INDICATORI DE REZULTAT                EXPLICAȚIILE TERMENILOR</w:t>
            </w:r>
          </w:p>
          <w:p w:rsidR="00CE2785" w:rsidRPr="00002315" w:rsidRDefault="00CE2785" w:rsidP="00CE2785">
            <w:pPr>
              <w:rPr>
                <w:rFonts w:ascii="Trebuchet MS" w:hAnsi="Trebuchet MS"/>
                <w:color w:val="1F4E79" w:themeColor="accent1" w:themeShade="80"/>
                <w:sz w:val="20"/>
                <w:szCs w:val="20"/>
              </w:rPr>
            </w:pPr>
          </w:p>
        </w:tc>
      </w:tr>
      <w:tr w:rsidR="00002315" w:rsidRPr="00002315" w:rsidTr="003722E3">
        <w:tc>
          <w:tcPr>
            <w:tcW w:w="3256" w:type="dxa"/>
          </w:tcPr>
          <w:p w:rsidR="000E04BC" w:rsidRPr="00002315" w:rsidRDefault="00347AAD" w:rsidP="000E04BC">
            <w:pPr>
              <w:tabs>
                <w:tab w:val="left" w:pos="1455"/>
              </w:tabs>
              <w:jc w:val="both"/>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4S120 Persoane (elevi) din care Roma/ din mediul rural certificate la</w:t>
            </w:r>
            <w:r w:rsidR="0022210F">
              <w:rPr>
                <w:rFonts w:ascii="Trebuchet MS" w:hAnsi="Trebuchet MS"/>
                <w:b/>
                <w:color w:val="1F4E79" w:themeColor="accent1" w:themeShade="80"/>
                <w:sz w:val="20"/>
                <w:szCs w:val="20"/>
              </w:rPr>
              <w:t xml:space="preserve"> </w:t>
            </w:r>
            <w:r w:rsidRPr="00002315">
              <w:rPr>
                <w:rFonts w:ascii="Trebuchet MS" w:hAnsi="Trebuchet MS"/>
                <w:b/>
                <w:color w:val="1F4E79" w:themeColor="accent1" w:themeShade="80"/>
                <w:sz w:val="20"/>
                <w:szCs w:val="20"/>
              </w:rPr>
              <w:t xml:space="preserve"> încetarea calității de</w:t>
            </w:r>
            <w:r w:rsidR="0022210F">
              <w:rPr>
                <w:rFonts w:ascii="Trebuchet MS" w:hAnsi="Trebuchet MS"/>
                <w:b/>
                <w:color w:val="1F4E79" w:themeColor="accent1" w:themeShade="80"/>
                <w:sz w:val="20"/>
                <w:szCs w:val="20"/>
              </w:rPr>
              <w:t xml:space="preserve"> </w:t>
            </w:r>
            <w:r w:rsidRPr="00002315">
              <w:rPr>
                <w:rFonts w:ascii="Trebuchet MS" w:hAnsi="Trebuchet MS"/>
                <w:b/>
                <w:color w:val="1F4E79" w:themeColor="accent1" w:themeShade="80"/>
                <w:sz w:val="20"/>
                <w:szCs w:val="20"/>
              </w:rPr>
              <w:t xml:space="preserve"> participant</w:t>
            </w:r>
          </w:p>
          <w:p w:rsidR="00347AAD" w:rsidRPr="00002315" w:rsidRDefault="00347AAD" w:rsidP="00347AAD">
            <w:pPr>
              <w:tabs>
                <w:tab w:val="left" w:pos="1455"/>
              </w:tabs>
              <w:jc w:val="both"/>
              <w:rPr>
                <w:rFonts w:ascii="Trebuchet MS" w:hAnsi="Trebuchet MS"/>
                <w:b/>
                <w:color w:val="1F4E79" w:themeColor="accent1" w:themeShade="80"/>
                <w:sz w:val="20"/>
                <w:szCs w:val="20"/>
              </w:rPr>
            </w:pPr>
          </w:p>
        </w:tc>
        <w:tc>
          <w:tcPr>
            <w:tcW w:w="9355" w:type="dxa"/>
          </w:tcPr>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”Elevul este persoana înregistrată în sistemul național de educație care urmează învățământul obligatoriu sau un program de formare profesională inițială.</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Agreată cu părțile implicate în cadrul atelierului de lucru</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„Învăţământul secundar superior” (ISCED 3) asigură educaţia generală şi/ sau specializarea elevilor cu vârsta între 15 şi 19 ani, respectiv 15-17/18 ani și poate fi:</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liceal, care cuprinde clasele de liceu IX-XII/XIII, cu următoarele filiere: teoretică, vocaţională şi tehnologică;</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profesional cu durata de minimum 3 ani.</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”Nivelurile de calificare 3-5”: Descriptorii de definire ai nivelurilor Cadrului naţional al calificărilor, respectiv cunoștințele, abilitățile și competențele aferente fiecărui nivel sunt definite în cadrul Hotărârii nr. 918/2013 privind aprobarea Cadrului naţional al calificărilor, cu modificările și completările ulterioare.</w:t>
            </w:r>
          </w:p>
          <w:p w:rsidR="00CA44ED"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„Certificarea” reprezintă procesul de recunoaştere şi înregistrare oficială a realizării şi a competenţei persoanelor care au studiat prin furnizarea unei dovezi documentare.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lastRenderedPageBreak/>
              <w:t>Sursa: Glosar de termeni tehnici folosiți în învățământul tehnic și profesional din România - http://www.tvet.ro/Anexe/x/Glossary%20Eng-Rom.pdf</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00CA44ED" w:rsidRPr="00711664">
              <w:rPr>
                <w:rFonts w:ascii="Trebuchet MS" w:hAnsi="Trebuchet MS"/>
                <w:color w:val="1F4E79" w:themeColor="accent1" w:themeShade="80"/>
                <w:sz w:val="20"/>
                <w:szCs w:val="20"/>
              </w:rPr>
              <w:t xml:space="preserve">"La încetarea calității de participant" </w:t>
            </w:r>
            <w:r w:rsidR="00CA44ED" w:rsidRPr="00711664">
              <w:t xml:space="preserve"> </w:t>
            </w:r>
            <w:r w:rsidR="00CA44ED" w:rsidRPr="00711664">
              <w:rPr>
                <w:rFonts w:ascii="Trebuchet MS" w:hAnsi="Trebuchet MS"/>
                <w:color w:val="1F4E79" w:themeColor="accent1" w:themeShade="80"/>
                <w:sz w:val="20"/>
                <w:szCs w:val="20"/>
              </w:rPr>
              <w:t>reprezintă intervalul de maxim 90 de zile de la momentul finalizării formării inițiale și obținerii unei certificari / diplome, dar nu mai târziu de 31 octombrie 2022.</w:t>
            </w:r>
            <w:r w:rsidRPr="00002315">
              <w:rPr>
                <w:rFonts w:ascii="Trebuchet MS" w:hAnsi="Trebuchet MS"/>
                <w:color w:val="1F4E79" w:themeColor="accent1" w:themeShade="80"/>
                <w:sz w:val="20"/>
                <w:szCs w:val="20"/>
              </w:rPr>
              <w:br/>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„Data intrării în operațiunile FSE” reprezintă „data la care persoana a beneficiat prima dată de </w:t>
            </w:r>
            <w:r w:rsidRPr="00002315">
              <w:rPr>
                <w:rFonts w:ascii="Trebuchet MS" w:hAnsi="Trebuchet MS"/>
                <w:color w:val="1F4E79" w:themeColor="accent1" w:themeShade="80"/>
                <w:sz w:val="20"/>
                <w:szCs w:val="20"/>
              </w:rPr>
              <w:br/>
              <w:t>sprijinul oferit prin operaţiune”.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DATELE VOR FI COLECTATE, MONITORIZATE ŞI RAPORTATE PENTRU URMĂTOARELE CATEGORII:</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Persoane (elev) care aparţin minorităţilor de etnie romă: persoana care se declară ca aparţinând minorităţilor de etnie romă şi care îndeplineşte cumulativ criteriile stabilite în cadrul definiţiei generale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Persoane (elev din zonele rurale: care locuiesc în zonele rurale (sat / comună) conform Legii 351/2001 privind aprobarea Planului de amenajare a teritoriului naţional - Secţiunea IV, Reţeaua de localităţi, Anexa I.</w:t>
            </w:r>
          </w:p>
        </w:tc>
      </w:tr>
      <w:tr w:rsidR="00002315" w:rsidRPr="00002315" w:rsidTr="003722E3">
        <w:tc>
          <w:tcPr>
            <w:tcW w:w="3256" w:type="dxa"/>
          </w:tcPr>
          <w:p w:rsidR="00CE2785" w:rsidRPr="00002315" w:rsidRDefault="00AE7315" w:rsidP="00AE7315">
            <w:pPr>
              <w:tabs>
                <w:tab w:val="left" w:pos="1455"/>
              </w:tabs>
              <w:rPr>
                <w:rFonts w:ascii="Trebuchet MS" w:hAnsi="Trebuchet MS"/>
                <w:b/>
                <w:color w:val="1F4E79" w:themeColor="accent1" w:themeShade="80"/>
                <w:sz w:val="20"/>
                <w:szCs w:val="20"/>
              </w:rPr>
            </w:pPr>
            <w:r>
              <w:rPr>
                <w:rFonts w:ascii="Trebuchet MS" w:hAnsi="Trebuchet MS"/>
                <w:b/>
                <w:color w:val="1F4E79" w:themeColor="accent1" w:themeShade="80"/>
                <w:sz w:val="20"/>
                <w:szCs w:val="20"/>
              </w:rPr>
              <w:lastRenderedPageBreak/>
              <w:t xml:space="preserve">4S121 </w:t>
            </w:r>
            <w:r w:rsidR="00204F11">
              <w:t xml:space="preserve"> </w:t>
            </w:r>
            <w:r w:rsidR="00204F11" w:rsidRPr="00204F11">
              <w:rPr>
                <w:rFonts w:ascii="Trebuchet MS" w:hAnsi="Trebuchet MS"/>
                <w:b/>
                <w:color w:val="1F4E79" w:themeColor="accent1" w:themeShade="80"/>
                <w:sz w:val="20"/>
                <w:szCs w:val="20"/>
              </w:rPr>
              <w:t>Persoane (elevi) care își găsesc un loc de muncă la încetarea calității de participant</w:t>
            </w:r>
          </w:p>
        </w:tc>
        <w:tc>
          <w:tcPr>
            <w:tcW w:w="9355" w:type="dxa"/>
          </w:tcPr>
          <w:p w:rsidR="00F25569" w:rsidRPr="00002315" w:rsidRDefault="00CE2785" w:rsidP="00F25569">
            <w:pPr>
              <w:jc w:val="both"/>
              <w:rPr>
                <w:rFonts w:ascii="Trebuchet MS" w:hAnsi="Trebuchet MS"/>
                <w:color w:val="1F4E79" w:themeColor="accent1" w:themeShade="80"/>
                <w:sz w:val="20"/>
                <w:szCs w:val="20"/>
                <w:lang w:val="en-US"/>
              </w:rPr>
            </w:pPr>
            <w:r w:rsidRPr="00002315">
              <w:rPr>
                <w:rFonts w:ascii="Trebuchet MS" w:hAnsi="Trebuchet MS"/>
                <w:color w:val="1F4E79" w:themeColor="accent1" w:themeShade="80"/>
                <w:sz w:val="20"/>
                <w:szCs w:val="20"/>
              </w:rPr>
              <w:t>”Elevul este persoana înregistrată în sistemul național de educație care urmează învățământul obligatoriu sau un program de formare profesională inițială.</w:t>
            </w:r>
            <w:r w:rsidR="00F25569" w:rsidRPr="00002315">
              <w:rPr>
                <w:rFonts w:ascii="Trebuchet MS" w:hAnsi="Trebuchet MS"/>
                <w:color w:val="1F4E79" w:themeColor="accent1" w:themeShade="80"/>
                <w:sz w:val="20"/>
                <w:szCs w:val="20"/>
                <w:lang w:val="en-US"/>
              </w:rPr>
              <w: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Agreată cu părțile implicate în cadrul atelierului de lucru</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lastRenderedPageBreak/>
              <w:br/>
            </w:r>
            <w:r w:rsidRPr="00002315">
              <w:rPr>
                <w:rFonts w:ascii="Trebuchet MS" w:hAnsi="Trebuchet MS"/>
                <w:color w:val="1F4E79" w:themeColor="accent1" w:themeShade="80"/>
                <w:sz w:val="20"/>
                <w:szCs w:val="20"/>
              </w:rPr>
              <w:br/>
              <w:t xml:space="preserve">„Învăţământul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F25569" w:rsidRPr="00002315" w:rsidRDefault="00F25569" w:rsidP="00F25569">
            <w:pPr>
              <w:jc w:val="both"/>
              <w:rPr>
                <w:rFonts w:ascii="Trebuchet MS" w:hAnsi="Trebuchet MS"/>
                <w:color w:val="1F4E79" w:themeColor="accent1" w:themeShade="80"/>
                <w:sz w:val="20"/>
                <w:szCs w:val="20"/>
              </w:rPr>
            </w:pP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„Învăţământul secundar superior” (ISCED 3) asigură educaţia generală şi/ sau specializarea elevilor cu vârsta între 15 şi 19 ani, respectiv 15-17/18 ani și poate fi: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liceal, care cuprinde clasele de liceu IX-XII/XIII, cu următoarele filiere: teoretică, vocaţională şi tehnologică;</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profesional cu durata de minimum 3 ani.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F25569"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00CE2785" w:rsidRPr="00002315">
              <w:rPr>
                <w:rFonts w:ascii="Trebuchet MS" w:hAnsi="Trebuchet MS"/>
                <w:color w:val="1F4E79" w:themeColor="accent1" w:themeShade="80"/>
                <w:sz w:val="20"/>
                <w:szCs w:val="20"/>
              </w:rPr>
              <w:br/>
            </w:r>
            <w:r w:rsidR="00CE2785" w:rsidRPr="00002315">
              <w:rPr>
                <w:rFonts w:ascii="Trebuchet MS" w:hAnsi="Trebuchet MS"/>
                <w:color w:val="1F4E79" w:themeColor="accent1" w:themeShade="80"/>
                <w:sz w:val="20"/>
                <w:szCs w:val="20"/>
              </w:rPr>
              <w:br/>
              <w:t>”Nivelurile de calificare 3-5”: Descriptorii de definire ai nivelurilor Cadrului naţional al calificărilor, respectiv cunoștințele, abilitățile și competențele aferente fiecărui nivel sunt definite în cadrul Hotărârii nr. 918/2013 privind aprobarea Cadrului naţional al calificărilor, cu modificările și completările ulterioare.</w:t>
            </w:r>
          </w:p>
          <w:p w:rsidR="00347AAD"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"Loc de muncă"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11.13 f). </w:t>
            </w:r>
            <w:r w:rsidRPr="00002315">
              <w:rPr>
                <w:rFonts w:ascii="Trebuchet MS" w:hAnsi="Trebuchet MS"/>
                <w:color w:val="1F4E79" w:themeColor="accent1" w:themeShade="80"/>
                <w:sz w:val="20"/>
                <w:szCs w:val="20"/>
              </w:rPr>
              <w:br/>
              <w:t>Şi persoanele care desfăşoară activităţi independente într-o întreprindere, fermă sau cabinet profesional se consideră că sunt încadrate în muncă dacă se aplică oricare dintre următoarele:</w:t>
            </w:r>
          </w:p>
          <w:p w:rsidR="00347AAD"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1) Persoana lucrează în propria întreprindere, cabinet profesional sau fermă în scopul realizării de profit, chiar dacă întreprinderea nu reuşeşte să aducă profit.</w:t>
            </w:r>
          </w:p>
          <w:p w:rsidR="00347AAD"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lastRenderedPageBreak/>
              <w:b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5836C1"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007125D3" w:rsidRPr="00552557">
              <w:rPr>
                <w:rFonts w:ascii="Trebuchet MS" w:hAnsi="Trebuchet MS"/>
                <w:color w:val="1F4E79" w:themeColor="accent1" w:themeShade="80"/>
                <w:sz w:val="20"/>
                <w:szCs w:val="20"/>
              </w:rPr>
              <w:t xml:space="preserve">"La încetarea calității de participant" </w:t>
            </w:r>
            <w:r w:rsidR="007125D3" w:rsidRPr="00552557">
              <w:t xml:space="preserve"> </w:t>
            </w:r>
            <w:r w:rsidR="007125D3" w:rsidRPr="00552557">
              <w:rPr>
                <w:rFonts w:ascii="Trebuchet MS" w:hAnsi="Trebuchet MS"/>
                <w:color w:val="1F4E79" w:themeColor="accent1" w:themeShade="80"/>
                <w:sz w:val="20"/>
                <w:szCs w:val="20"/>
              </w:rPr>
              <w:t>reprezintă intervalul de maxim 90 de zile de la momentul finalizării formării inițiale și obținerii unei certificari / diplome, dar nu mai târziu de 31 octombrie 2022.</w:t>
            </w:r>
            <w:r w:rsidR="007125D3" w:rsidRPr="00002315">
              <w:rPr>
                <w:rFonts w:ascii="Trebuchet MS" w:hAnsi="Trebuchet MS"/>
                <w:color w:val="1F4E79" w:themeColor="accent1" w:themeShade="80"/>
                <w:sz w:val="20"/>
                <w:szCs w:val="20"/>
              </w:rPr>
              <w:br/>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Orientările Comisiei Europene pentru Monitorizarea și Evaluarea Fondului Social European, Anexa C1</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„Data intrării în operațiunile FSE” reprezintă „data la care persoana a beneficiat prima dată de sprijinul oferit prin operaţiune”.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lastRenderedPageBreak/>
              <w:br/>
            </w:r>
            <w:r w:rsidRPr="00002315">
              <w:rPr>
                <w:rFonts w:ascii="Trebuchet MS" w:hAnsi="Trebuchet MS"/>
                <w:color w:val="1F4E79" w:themeColor="accent1" w:themeShade="80"/>
                <w:sz w:val="20"/>
                <w:szCs w:val="20"/>
              </w:rPr>
              <w:br/>
              <w:t>DATELE VOR FI COLECTATE, MONITORIZATE ŞI RAPORTATE PENTRU URMĂTOARELE CATEGORII: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p>
          <w:p w:rsidR="00CE2785"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care </w:t>
            </w:r>
            <w:r w:rsidR="00F25569" w:rsidRPr="00002315">
              <w:rPr>
                <w:rFonts w:ascii="Trebuchet MS" w:hAnsi="Trebuchet MS"/>
                <w:color w:val="1F4E79" w:themeColor="accent1" w:themeShade="80"/>
                <w:sz w:val="20"/>
                <w:szCs w:val="20"/>
              </w:rPr>
              <w:t>aparțin</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persoana care se declară ca </w:t>
            </w:r>
            <w:r w:rsidR="00F25569" w:rsidRPr="00002315">
              <w:rPr>
                <w:rFonts w:ascii="Trebuchet MS" w:hAnsi="Trebuchet MS"/>
                <w:color w:val="1F4E79" w:themeColor="accent1" w:themeShade="80"/>
                <w:sz w:val="20"/>
                <w:szCs w:val="20"/>
              </w:rPr>
              <w:t>aparținând</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şi care </w:t>
            </w:r>
            <w:r w:rsidR="00F25569" w:rsidRPr="00002315">
              <w:rPr>
                <w:rFonts w:ascii="Trebuchet MS" w:hAnsi="Trebuchet MS"/>
                <w:color w:val="1F4E79" w:themeColor="accent1" w:themeShade="80"/>
                <w:sz w:val="20"/>
                <w:szCs w:val="20"/>
              </w:rPr>
              <w:t>îndeplinește</w:t>
            </w:r>
            <w:r w:rsidRPr="00002315">
              <w:rPr>
                <w:rFonts w:ascii="Trebuchet MS" w:hAnsi="Trebuchet MS"/>
                <w:color w:val="1F4E79" w:themeColor="accent1" w:themeShade="80"/>
                <w:sz w:val="20"/>
                <w:szCs w:val="20"/>
              </w:rPr>
              <w:t xml:space="preserve"> cumulativ criteriile stabilite în cadrul </w:t>
            </w:r>
            <w:r w:rsidR="00F25569" w:rsidRPr="00002315">
              <w:rPr>
                <w:rFonts w:ascii="Trebuchet MS" w:hAnsi="Trebuchet MS"/>
                <w:color w:val="1F4E79" w:themeColor="accent1" w:themeShade="80"/>
                <w:sz w:val="20"/>
                <w:szCs w:val="20"/>
              </w:rPr>
              <w:t>definiției</w:t>
            </w:r>
            <w:r w:rsidRPr="00002315">
              <w:rPr>
                <w:rFonts w:ascii="Trebuchet MS" w:hAnsi="Trebuchet MS"/>
                <w:color w:val="1F4E79" w:themeColor="accent1" w:themeShade="80"/>
                <w:sz w:val="20"/>
                <w:szCs w:val="20"/>
              </w:rPr>
              <w:t xml:space="preserve"> generale</w:t>
            </w:r>
            <w:r w:rsidRPr="00002315">
              <w:rPr>
                <w:rFonts w:ascii="Trebuchet MS" w:hAnsi="Trebuchet MS"/>
                <w:color w:val="1F4E79" w:themeColor="accent1" w:themeShade="80"/>
                <w:sz w:val="20"/>
                <w:szCs w:val="20"/>
              </w:rPr>
              <w:br/>
              <w:t xml:space="preserve">- Persoane (elev din zonele rurale: care locuiesc în zonele rurale (sat / comună) conform Legii 351/2001 privind aprobarea Planului de amenajare a teritoriului naţional - Secţiunea IV, Reţeaua de localităţi, Anexa I. </w:t>
            </w:r>
          </w:p>
          <w:p w:rsidR="00CE2785" w:rsidRPr="00002315" w:rsidRDefault="00CE2785" w:rsidP="00F25569">
            <w:pPr>
              <w:jc w:val="both"/>
              <w:rPr>
                <w:rFonts w:ascii="Trebuchet MS" w:hAnsi="Trebuchet MS"/>
                <w:color w:val="1F4E79" w:themeColor="accent1" w:themeShade="80"/>
                <w:sz w:val="20"/>
                <w:szCs w:val="20"/>
              </w:rPr>
            </w:pPr>
          </w:p>
        </w:tc>
      </w:tr>
      <w:tr w:rsidR="00002315" w:rsidRPr="00002315" w:rsidTr="003722E3">
        <w:tc>
          <w:tcPr>
            <w:tcW w:w="3256" w:type="dxa"/>
          </w:tcPr>
          <w:p w:rsidR="00CE2785" w:rsidRPr="00002315" w:rsidRDefault="00CE2785" w:rsidP="00B25101">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lastRenderedPageBreak/>
              <w:t>4S122</w:t>
            </w:r>
            <w:r w:rsidRPr="00002315">
              <w:rPr>
                <w:rFonts w:ascii="Trebuchet MS" w:hAnsi="Trebuchet MS"/>
                <w:b/>
                <w:color w:val="1F4E79" w:themeColor="accent1" w:themeShade="80"/>
                <w:sz w:val="20"/>
                <w:szCs w:val="20"/>
              </w:rPr>
              <w:tab/>
              <w:t>Persoane (elevi/ ucenici) din care Roma/ din mediul rural care urmează studii/</w:t>
            </w:r>
            <w:r w:rsidR="00B25101">
              <w:rPr>
                <w:rFonts w:ascii="Trebuchet MS" w:hAnsi="Trebuchet MS"/>
                <w:b/>
                <w:color w:val="1F4E79" w:themeColor="accent1" w:themeShade="80"/>
                <w:sz w:val="20"/>
                <w:szCs w:val="20"/>
              </w:rPr>
              <w:t xml:space="preserve"> </w:t>
            </w:r>
            <w:r w:rsidRPr="00002315">
              <w:rPr>
                <w:rFonts w:ascii="Trebuchet MS" w:hAnsi="Trebuchet MS"/>
                <w:b/>
                <w:color w:val="1F4E79" w:themeColor="accent1" w:themeShade="80"/>
                <w:sz w:val="20"/>
                <w:szCs w:val="20"/>
              </w:rPr>
              <w:t>cursuri de formare la încetarea calității de participant, din care: elevi</w:t>
            </w:r>
          </w:p>
        </w:tc>
        <w:tc>
          <w:tcPr>
            <w:tcW w:w="9355" w:type="dxa"/>
          </w:tcPr>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”Elevul este persoana înregistrată în sistemul național de educație care urmează învățământul obligatoriu sau un program de formare profesională inițială.</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Agreată cu părțile implicate în cadrul atelierului de lucru</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„Învăţământul secundar superior” (ISCED 3) asigură educaţia generală şi/ sau specializarea elevilor cu vârsta între 15 şi 19 ani, respectiv 15-17/18 ani și poate fi:</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liceal, care cuprinde clasele de liceu IX-XII/XIII, cu următoarele filiere: teoretică, vocaţională şi tehnologică;</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profesional cu durata de minimum 3 ani.</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lastRenderedPageBreak/>
              <w:t>”Nivelurile de calificare 3-5”: Descriptorii de definire ai nivelurilor Cadrului naţional al calificărilor, respectiv cunoștințele, abilitățile și competențele aferente fiecărui nivel sunt definite în cadrul Hotărârii nr. 918/2013 privind aprobarea Cadrului naţional al calificărilor,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”Urmează studii/cursuri de formare” sunt persoanele care participă la programe de educație/FP.</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„Program educaţional“ este un program scris de instituţia sau ministerul educaţiei care stabileşte programul de învăţare pentru fiecare materie în toate etapele de educaţie formală. Mai exact, stabileşte pentru fiecare arie de dezvoltare, disciplină, domeniul de studiu / modulul de pregătire din planul de învăţământ, finalităţile urmărite şi evidenţiază conţinuturile fundamentale de ordin teoretic, experimental şi aplicativ, oferind orientări metodologice generale pentru realizarea şi evaluarea acestora.</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Legea educației naționale 1/2011,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”Formarea profesională a adulţilor” cuprinde formarea profesională iniţială şi formarea profesională continuă organizate prin alte forme decât cele specifice sistemului naţional de învăţământ. Formarea profesională iniţială a adulţilor asigură pregătirea necesară pentru dobândirea competenţelor profesionale minime necesare pentru obţinerea unui loc de muncă. Formarea profesională continuă este ulterioară formării iniţiale şi asigură adulţilor fie dezvoltarea competenţelor profesionale deja dobândite, fie dobândirea de noi competenţe.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Sursa: Ordonanţa nr. 129/2000 privind formarea profesională a adulţilor,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bookmarkStart w:id="3" w:name="_GoBack"/>
            <w:bookmarkEnd w:id="3"/>
            <w:r w:rsidR="005836C1" w:rsidRPr="00552557">
              <w:rPr>
                <w:rFonts w:ascii="Trebuchet MS" w:hAnsi="Trebuchet MS"/>
                <w:color w:val="1F4E79" w:themeColor="accent1" w:themeShade="80"/>
                <w:sz w:val="20"/>
                <w:szCs w:val="20"/>
              </w:rPr>
              <w:t>"</w:t>
            </w:r>
            <w:r w:rsidR="007125D3" w:rsidRPr="00552557">
              <w:rPr>
                <w:rFonts w:ascii="Trebuchet MS" w:hAnsi="Trebuchet MS"/>
                <w:color w:val="1F4E79" w:themeColor="accent1" w:themeShade="80"/>
                <w:sz w:val="20"/>
                <w:szCs w:val="20"/>
              </w:rPr>
              <w:t xml:space="preserve">La încetarea calității de participant" </w:t>
            </w:r>
            <w:r w:rsidR="007125D3" w:rsidRPr="00552557">
              <w:t xml:space="preserve"> </w:t>
            </w:r>
            <w:r w:rsidR="007125D3" w:rsidRPr="00552557">
              <w:rPr>
                <w:rFonts w:ascii="Trebuchet MS" w:hAnsi="Trebuchet MS"/>
                <w:color w:val="1F4E79" w:themeColor="accent1" w:themeShade="80"/>
                <w:sz w:val="20"/>
                <w:szCs w:val="20"/>
              </w:rPr>
              <w:t>reprezintă intervalul de maxim 90 de zile de la momentul finalizării formării inițiale și obținerii unei certificari / diplome, dar nu mai târziu de 31 octombrie 2022.</w:t>
            </w:r>
            <w:r w:rsidR="007125D3"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Sursa: Orientările Comisiei Europene pentru Monitorizarea și Evaluarea Fondului Social European, Anexa C1</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„Data intrării în operațiunile FSE” reprezintă „data la care persoana a beneficiat prima dată de sprijinul oferit prin operaţiune”. </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lastRenderedPageBreak/>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DATELE VOR FI COLECTATE, MONITORIZATE ŞI RAPORTATE PENTRU URMĂTOARELE CATEGORII:</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Persoane (elev) care aparţin minorităţilor de etnie romă: persoana care se declară ca aparţinând minorităţilor de etnie romă şi care îndeplineşte cumulativ criteriile stabilite în cadrul definiţiei generale</w:t>
            </w:r>
          </w:p>
          <w:p w:rsidR="00CE2785"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din zonele rurale: care locuiesc în zonele rurale (sat / comună) conform Legii 351/2001 privind aprobarea Planului de amenajare a teritoriului naţional - Secţiunea IV, Reţeaua de localităţi, Anexa I. </w:t>
            </w:r>
          </w:p>
        </w:tc>
      </w:tr>
    </w:tbl>
    <w:p w:rsidR="00CE2785" w:rsidRPr="00002315" w:rsidRDefault="00CE2785">
      <w:pPr>
        <w:rPr>
          <w:rFonts w:ascii="Trebuchet MS" w:eastAsia="Calibri" w:hAnsi="Trebuchet MS" w:cs="Times New Roman"/>
          <w:color w:val="1F4E79" w:themeColor="accent1" w:themeShade="80"/>
        </w:rPr>
      </w:pPr>
    </w:p>
    <w:p w:rsidR="00CE2785" w:rsidRPr="00002315" w:rsidRDefault="00CE2785" w:rsidP="00CE2785">
      <w:pPr>
        <w:rPr>
          <w:color w:val="1F4E79" w:themeColor="accent1" w:themeShade="80"/>
        </w:rPr>
      </w:pPr>
    </w:p>
    <w:p w:rsidR="00CE2785" w:rsidRPr="00002315" w:rsidRDefault="00CE2785" w:rsidP="00CE2785">
      <w:pPr>
        <w:rPr>
          <w:color w:val="1F4E79" w:themeColor="accent1" w:themeShade="80"/>
        </w:rPr>
      </w:pPr>
    </w:p>
    <w:sectPr w:rsidR="00CE2785" w:rsidRPr="00002315" w:rsidSect="00CE2785">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75D" w:rsidRDefault="007E575D" w:rsidP="00F25569">
      <w:pPr>
        <w:spacing w:after="0" w:line="240" w:lineRule="auto"/>
      </w:pPr>
      <w:r>
        <w:separator/>
      </w:r>
    </w:p>
  </w:endnote>
  <w:endnote w:type="continuationSeparator" w:id="0">
    <w:p w:rsidR="007E575D" w:rsidRDefault="007E575D" w:rsidP="00F2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848249"/>
      <w:docPartObj>
        <w:docPartGallery w:val="Page Numbers (Bottom of Page)"/>
        <w:docPartUnique/>
      </w:docPartObj>
    </w:sdtPr>
    <w:sdtEndPr/>
    <w:sdtContent>
      <w:p w:rsidR="00F25569" w:rsidRDefault="00F25569">
        <w:pPr>
          <w:pStyle w:val="Subsol"/>
          <w:jc w:val="right"/>
        </w:pPr>
        <w:r>
          <w:fldChar w:fldCharType="begin"/>
        </w:r>
        <w:r>
          <w:instrText>PAGE   \* MERGEFORMAT</w:instrText>
        </w:r>
        <w:r>
          <w:fldChar w:fldCharType="separate"/>
        </w:r>
        <w:r w:rsidR="00552557">
          <w:rPr>
            <w:noProof/>
          </w:rPr>
          <w:t>8</w:t>
        </w:r>
        <w:r>
          <w:fldChar w:fldCharType="end"/>
        </w:r>
      </w:p>
    </w:sdtContent>
  </w:sdt>
  <w:p w:rsidR="00F25569" w:rsidRDefault="00F2556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75D" w:rsidRDefault="007E575D" w:rsidP="00F25569">
      <w:pPr>
        <w:spacing w:after="0" w:line="240" w:lineRule="auto"/>
      </w:pPr>
      <w:r>
        <w:separator/>
      </w:r>
    </w:p>
  </w:footnote>
  <w:footnote w:type="continuationSeparator" w:id="0">
    <w:p w:rsidR="007E575D" w:rsidRDefault="007E575D" w:rsidP="00F25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97C"/>
    <w:rsid w:val="00002315"/>
    <w:rsid w:val="00002357"/>
    <w:rsid w:val="00066726"/>
    <w:rsid w:val="000E04BC"/>
    <w:rsid w:val="001D207B"/>
    <w:rsid w:val="00204F11"/>
    <w:rsid w:val="0022210F"/>
    <w:rsid w:val="00232529"/>
    <w:rsid w:val="002854F7"/>
    <w:rsid w:val="00347AAD"/>
    <w:rsid w:val="003602E3"/>
    <w:rsid w:val="00552557"/>
    <w:rsid w:val="005836C1"/>
    <w:rsid w:val="005C0BAB"/>
    <w:rsid w:val="005E4869"/>
    <w:rsid w:val="00631164"/>
    <w:rsid w:val="00670B79"/>
    <w:rsid w:val="00711664"/>
    <w:rsid w:val="007125D3"/>
    <w:rsid w:val="007C1604"/>
    <w:rsid w:val="007D4279"/>
    <w:rsid w:val="007E454C"/>
    <w:rsid w:val="007E575D"/>
    <w:rsid w:val="00807089"/>
    <w:rsid w:val="009100A1"/>
    <w:rsid w:val="0095269F"/>
    <w:rsid w:val="00996515"/>
    <w:rsid w:val="00A15B04"/>
    <w:rsid w:val="00A20EA4"/>
    <w:rsid w:val="00AE7315"/>
    <w:rsid w:val="00B25101"/>
    <w:rsid w:val="00B700BE"/>
    <w:rsid w:val="00BD7646"/>
    <w:rsid w:val="00C07BA2"/>
    <w:rsid w:val="00C21978"/>
    <w:rsid w:val="00C23D65"/>
    <w:rsid w:val="00CA44ED"/>
    <w:rsid w:val="00CE2785"/>
    <w:rsid w:val="00D3597C"/>
    <w:rsid w:val="00D6206D"/>
    <w:rsid w:val="00DF076B"/>
    <w:rsid w:val="00E04A89"/>
    <w:rsid w:val="00F25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23CA8-3A89-40DA-9A9C-8C1A9AA5A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CE2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F2556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25569"/>
    <w:rPr>
      <w:lang w:val="ro-RO"/>
    </w:rPr>
  </w:style>
  <w:style w:type="paragraph" w:styleId="Subsol">
    <w:name w:val="footer"/>
    <w:basedOn w:val="Normal"/>
    <w:link w:val="SubsolCaracter"/>
    <w:uiPriority w:val="99"/>
    <w:unhideWhenUsed/>
    <w:rsid w:val="00F25569"/>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F25569"/>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2614</Words>
  <Characters>14905</Characters>
  <Application>Microsoft Office Word</Application>
  <DocSecurity>0</DocSecurity>
  <Lines>124</Lines>
  <Paragraphs>34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daniel chitoi</cp:lastModifiedBy>
  <cp:revision>15</cp:revision>
  <dcterms:created xsi:type="dcterms:W3CDTF">2019-04-24T13:24:00Z</dcterms:created>
  <dcterms:modified xsi:type="dcterms:W3CDTF">2019-05-10T07:16:00Z</dcterms:modified>
</cp:coreProperties>
</file>